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DA0C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000000"/>
          <w:sz w:val="40"/>
          <w:szCs w:val="40"/>
          <w:lang w:val="en-US" w:eastAsia="zh-CN"/>
        </w:rPr>
      </w:pPr>
      <w:r>
        <w:rPr>
          <w:rFonts w:hint="eastAsia" w:ascii="宋体" w:hAnsi="宋体" w:eastAsia="宋体" w:cs="宋体"/>
          <w:b/>
          <w:color w:val="000000"/>
          <w:sz w:val="40"/>
          <w:szCs w:val="40"/>
          <w:lang w:val="en-US" w:eastAsia="zh-CN"/>
        </w:rPr>
        <w:t>金寨县中医医院医院感染实时监控系统维保的询价公告</w:t>
      </w:r>
    </w:p>
    <w:p w14:paraId="4865B6D3">
      <w:pPr>
        <w:ind w:firstLine="600" w:firstLineChars="200"/>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因医院感染实时监控系统维保服务已到期，为保障软件正常运转，现发布金寨县中医医院医院感染实时监控系统维保的询价公告，欢迎符合资质要求的公司参与报价。</w:t>
      </w:r>
    </w:p>
    <w:p w14:paraId="2F5674DD">
      <w:pPr>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一、项目名称及内容</w:t>
      </w:r>
    </w:p>
    <w:p w14:paraId="347CE94A">
      <w:pPr>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项目名称：金寨县中医医院医院感染实时监控系统维保</w:t>
      </w:r>
    </w:p>
    <w:p w14:paraId="3725EABE">
      <w:pPr>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实施地点：六安市金寨县中医医院</w:t>
      </w:r>
    </w:p>
    <w:p w14:paraId="5F951CF0">
      <w:pPr>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项目工期：合同签订后5个自然日（整改时间不计入内）</w:t>
      </w:r>
    </w:p>
    <w:p w14:paraId="40AAC5F2">
      <w:pPr>
        <w:rPr>
          <w:rFonts w:hint="default"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项目预算：预算价2.8万元一年</w:t>
      </w:r>
    </w:p>
    <w:p w14:paraId="4D07D7CC">
      <w:pPr>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资金来源：自筹</w:t>
      </w:r>
    </w:p>
    <w:p w14:paraId="1588523B">
      <w:pPr>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采购方式：公开询价</w:t>
      </w:r>
    </w:p>
    <w:p w14:paraId="0EA6E962">
      <w:pPr>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付款方式：项目验收合格后一次性支付。</w:t>
      </w:r>
    </w:p>
    <w:p w14:paraId="10AC61D6">
      <w:pPr>
        <w:numPr>
          <w:ilvl w:val="0"/>
          <w:numId w:val="1"/>
        </w:numPr>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项目需求</w:t>
      </w:r>
    </w:p>
    <w:p w14:paraId="4D2698A9">
      <w:pPr>
        <w:numPr>
          <w:ilvl w:val="0"/>
          <w:numId w:val="0"/>
        </w:numPr>
        <w:rPr>
          <w:rFonts w:hint="default"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 xml:space="preserve">    对医院感染实时监控系统进行日常维保，配合院感办开展日常工作，详见附件1。</w:t>
      </w:r>
    </w:p>
    <w:p w14:paraId="362E10C9">
      <w:pPr>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三、评定方式</w:t>
      </w:r>
    </w:p>
    <w:p w14:paraId="2CF9D6EF">
      <w:pPr>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最低价中标</w:t>
      </w:r>
    </w:p>
    <w:p w14:paraId="67D8C90A">
      <w:pPr>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四、报价单位须知</w:t>
      </w:r>
    </w:p>
    <w:p w14:paraId="20184926">
      <w:pPr>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（一）基本资格条件</w:t>
      </w:r>
    </w:p>
    <w:p w14:paraId="0DC8ACEF">
      <w:pPr>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1、具有独立承担民事责任的能力；</w:t>
      </w:r>
    </w:p>
    <w:p w14:paraId="7AD983D8">
      <w:pPr>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2、具有良好的商业信誉和健全的财务会计制度；</w:t>
      </w:r>
    </w:p>
    <w:p w14:paraId="13C725B2">
      <w:pPr>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3、具有履行合同所必需的设备和专业技术能力；</w:t>
      </w:r>
    </w:p>
    <w:p w14:paraId="3701EAA3">
      <w:pPr>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4、有依法缴纳税收和社会保障资金的良好记录；</w:t>
      </w:r>
    </w:p>
    <w:p w14:paraId="5298BD10">
      <w:pPr>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5、参加政府采购活动前三年内，在经营活动中没有重大违法记录；</w:t>
      </w:r>
    </w:p>
    <w:p w14:paraId="3792160B">
      <w:pPr>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6、法律、行政法规规定的其他条件。</w:t>
      </w:r>
    </w:p>
    <w:p w14:paraId="0FFB237D">
      <w:pPr>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（一）应符合《中华人民共和国政府采购法》第二十二条规定。</w:t>
      </w:r>
    </w:p>
    <w:p w14:paraId="25ABE4D4">
      <w:pPr>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（二）各报价单位自行对项目详细情况进行充分考察了解。</w:t>
      </w:r>
    </w:p>
    <w:p w14:paraId="5707F525">
      <w:pPr>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（三）报价文件的构成：报价函、营业执照复印件、资质文件（所提供证件资料必须加盖公章，真实有效，具有法律效应），报价文件必须密封（否则视同废标）。</w:t>
      </w:r>
    </w:p>
    <w:p w14:paraId="5F88D030">
      <w:pPr>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（四） 报价有效期为报价截止后10天。</w:t>
      </w:r>
    </w:p>
    <w:p w14:paraId="71CAA722">
      <w:pPr>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（五）报价单位须提供真实有效的证明材料，采购单位有权验证提供材料的真实性，一旦发现，有权向有关部门举报并将其列入黑名单。</w:t>
      </w:r>
    </w:p>
    <w:p w14:paraId="394C7902">
      <w:pPr>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五、报名截止时间和开标时间</w:t>
      </w:r>
    </w:p>
    <w:p w14:paraId="37E7ACB4">
      <w:pPr>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1.报价文件递交的截止时间：2025年11月14日下午3点整。</w:t>
      </w:r>
    </w:p>
    <w:p w14:paraId="061F56B7">
      <w:pPr>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2.开标时间：2025年11月14日下午3点整。</w:t>
      </w:r>
    </w:p>
    <w:p w14:paraId="41BE20C4">
      <w:pPr>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3.中标确认：中标单位收到本项目中标通知书后，请于3个工作日内以快递方式予以确认。</w:t>
      </w:r>
    </w:p>
    <w:p w14:paraId="0A62DF08">
      <w:pPr>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六、联系方式</w:t>
      </w:r>
    </w:p>
    <w:p w14:paraId="6558AC24">
      <w:pPr>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招标人：金寨县中医医院</w:t>
      </w:r>
    </w:p>
    <w:p w14:paraId="41B07B9A">
      <w:pPr>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地 址：六安市金寨县梅山镇红军大道233号</w:t>
      </w:r>
    </w:p>
    <w:p w14:paraId="6EF2186C">
      <w:pPr>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联系人：陈先生    电 话：7199090</w:t>
      </w:r>
    </w:p>
    <w:p w14:paraId="1AF7B733">
      <w:pPr>
        <w:ind w:left="5964" w:leftChars="2840" w:firstLine="0" w:firstLineChars="0"/>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金寨县中医医院</w:t>
      </w:r>
    </w:p>
    <w:p w14:paraId="16EBB557">
      <w:pPr>
        <w:ind w:firstLine="5700" w:firstLineChars="1900"/>
        <w:rPr>
          <w:rFonts w:hint="eastAsia" w:ascii="仿宋" w:hAnsi="仿宋" w:eastAsia="仿宋" w:cs="仿宋"/>
          <w:b w:val="0"/>
          <w:bCs/>
          <w:color w:val="000000"/>
          <w:sz w:val="30"/>
          <w:szCs w:val="30"/>
          <w:lang w:val="en-US" w:eastAsia="zh-CN"/>
        </w:rPr>
      </w:pPr>
      <w:r>
        <w:rPr>
          <w:rFonts w:hint="eastAsia" w:ascii="仿宋" w:hAnsi="仿宋" w:eastAsia="仿宋" w:cs="仿宋"/>
          <w:b w:val="0"/>
          <w:bCs/>
          <w:color w:val="000000"/>
          <w:sz w:val="30"/>
          <w:szCs w:val="30"/>
          <w:lang w:val="en-US" w:eastAsia="zh-CN"/>
        </w:rPr>
        <w:t>2025年11月10</w:t>
      </w:r>
      <w:bookmarkStart w:id="0" w:name="_GoBack"/>
      <w:bookmarkEnd w:id="0"/>
      <w:r>
        <w:rPr>
          <w:rFonts w:hint="eastAsia" w:ascii="仿宋" w:hAnsi="仿宋" w:eastAsia="仿宋" w:cs="仿宋"/>
          <w:b w:val="0"/>
          <w:bCs/>
          <w:color w:val="000000"/>
          <w:sz w:val="30"/>
          <w:szCs w:val="30"/>
          <w:lang w:val="en-US" w:eastAsia="zh-CN"/>
        </w:rPr>
        <w:t>日</w:t>
      </w:r>
    </w:p>
    <w:p w14:paraId="7AE41CA0">
      <w:pPr>
        <w:ind w:firstLine="5700" w:firstLineChars="1900"/>
        <w:rPr>
          <w:rFonts w:hint="eastAsia" w:ascii="仿宋" w:hAnsi="仿宋" w:eastAsia="仿宋" w:cs="仿宋"/>
          <w:b w:val="0"/>
          <w:bCs/>
          <w:color w:val="000000"/>
          <w:sz w:val="30"/>
          <w:szCs w:val="30"/>
          <w:lang w:val="en-US" w:eastAsia="zh-CN"/>
        </w:rPr>
      </w:pPr>
    </w:p>
    <w:p w14:paraId="44D250A7">
      <w:pPr>
        <w:ind w:firstLine="5700" w:firstLineChars="1900"/>
        <w:rPr>
          <w:rFonts w:hint="eastAsia" w:ascii="仿宋" w:hAnsi="仿宋" w:eastAsia="仿宋" w:cs="仿宋"/>
          <w:b w:val="0"/>
          <w:bCs/>
          <w:color w:val="000000"/>
          <w:sz w:val="30"/>
          <w:szCs w:val="30"/>
          <w:lang w:val="en-US" w:eastAsia="zh-CN"/>
        </w:rPr>
      </w:pPr>
    </w:p>
    <w:p w14:paraId="45A26996">
      <w:pPr>
        <w:ind w:firstLine="5700" w:firstLineChars="1900"/>
        <w:rPr>
          <w:rFonts w:hint="eastAsia" w:ascii="仿宋" w:hAnsi="仿宋" w:eastAsia="仿宋" w:cs="仿宋"/>
          <w:b w:val="0"/>
          <w:bCs/>
          <w:color w:val="000000"/>
          <w:sz w:val="30"/>
          <w:szCs w:val="30"/>
          <w:lang w:val="en-US" w:eastAsia="zh-CN"/>
        </w:rPr>
      </w:pPr>
    </w:p>
    <w:p w14:paraId="66824FC0">
      <w:pPr>
        <w:ind w:firstLine="5700" w:firstLineChars="1900"/>
        <w:rPr>
          <w:rFonts w:hint="eastAsia" w:ascii="仿宋" w:hAnsi="仿宋" w:eastAsia="仿宋" w:cs="仿宋"/>
          <w:b w:val="0"/>
          <w:bCs/>
          <w:color w:val="000000"/>
          <w:sz w:val="30"/>
          <w:szCs w:val="30"/>
          <w:lang w:val="en-US" w:eastAsia="zh-CN"/>
        </w:rPr>
      </w:pPr>
    </w:p>
    <w:p w14:paraId="72EAEE40">
      <w:pPr>
        <w:ind w:firstLine="5700" w:firstLineChars="1900"/>
        <w:rPr>
          <w:rFonts w:hint="eastAsia" w:ascii="仿宋" w:hAnsi="仿宋" w:eastAsia="仿宋" w:cs="仿宋"/>
          <w:b w:val="0"/>
          <w:bCs/>
          <w:color w:val="000000"/>
          <w:sz w:val="30"/>
          <w:szCs w:val="30"/>
          <w:lang w:val="en-US" w:eastAsia="zh-CN"/>
        </w:rPr>
      </w:pPr>
    </w:p>
    <w:p w14:paraId="39F57C6B">
      <w:pPr>
        <w:ind w:firstLine="5700" w:firstLineChars="1900"/>
        <w:rPr>
          <w:rFonts w:hint="eastAsia" w:ascii="仿宋" w:hAnsi="仿宋" w:eastAsia="仿宋" w:cs="仿宋"/>
          <w:b w:val="0"/>
          <w:bCs/>
          <w:color w:val="000000"/>
          <w:sz w:val="30"/>
          <w:szCs w:val="30"/>
          <w:lang w:val="en-US" w:eastAsia="zh-CN"/>
        </w:rPr>
      </w:pPr>
    </w:p>
    <w:p w14:paraId="16818688">
      <w:pPr>
        <w:ind w:firstLine="5700" w:firstLineChars="1900"/>
        <w:rPr>
          <w:rFonts w:hint="eastAsia" w:ascii="仿宋" w:hAnsi="仿宋" w:eastAsia="仿宋" w:cs="仿宋"/>
          <w:b w:val="0"/>
          <w:bCs/>
          <w:color w:val="000000"/>
          <w:sz w:val="30"/>
          <w:szCs w:val="30"/>
          <w:lang w:val="en-US" w:eastAsia="zh-CN"/>
        </w:rPr>
      </w:pPr>
    </w:p>
    <w:p w14:paraId="75D7127D">
      <w:pPr>
        <w:ind w:firstLine="5700" w:firstLineChars="1900"/>
        <w:rPr>
          <w:rFonts w:hint="eastAsia" w:ascii="仿宋" w:hAnsi="仿宋" w:eastAsia="仿宋" w:cs="仿宋"/>
          <w:b w:val="0"/>
          <w:bCs/>
          <w:color w:val="000000"/>
          <w:sz w:val="30"/>
          <w:szCs w:val="30"/>
          <w:lang w:val="en-US" w:eastAsia="zh-CN"/>
        </w:rPr>
      </w:pPr>
    </w:p>
    <w:p w14:paraId="6F088E6C">
      <w:pPr>
        <w:ind w:firstLine="5700" w:firstLineChars="1900"/>
        <w:rPr>
          <w:rFonts w:hint="eastAsia" w:ascii="仿宋" w:hAnsi="仿宋" w:eastAsia="仿宋" w:cs="仿宋"/>
          <w:b w:val="0"/>
          <w:bCs/>
          <w:color w:val="000000"/>
          <w:sz w:val="30"/>
          <w:szCs w:val="30"/>
          <w:lang w:val="en-US" w:eastAsia="zh-CN"/>
        </w:rPr>
      </w:pPr>
    </w:p>
    <w:p w14:paraId="4D43745E">
      <w:pPr>
        <w:ind w:firstLine="5700" w:firstLineChars="1900"/>
        <w:rPr>
          <w:rFonts w:hint="eastAsia" w:ascii="仿宋" w:hAnsi="仿宋" w:eastAsia="仿宋" w:cs="仿宋"/>
          <w:b w:val="0"/>
          <w:bCs/>
          <w:color w:val="000000"/>
          <w:sz w:val="30"/>
          <w:szCs w:val="30"/>
          <w:lang w:val="en-US" w:eastAsia="zh-CN"/>
        </w:rPr>
      </w:pPr>
    </w:p>
    <w:p w14:paraId="642842CB">
      <w:pPr>
        <w:ind w:firstLine="5700" w:firstLineChars="1900"/>
        <w:rPr>
          <w:rFonts w:hint="eastAsia" w:ascii="仿宋" w:hAnsi="仿宋" w:eastAsia="仿宋" w:cs="仿宋"/>
          <w:b w:val="0"/>
          <w:bCs/>
          <w:color w:val="000000"/>
          <w:sz w:val="30"/>
          <w:szCs w:val="30"/>
          <w:lang w:val="en-US" w:eastAsia="zh-CN"/>
        </w:rPr>
      </w:pPr>
    </w:p>
    <w:p w14:paraId="732AAA04">
      <w:pPr>
        <w:ind w:firstLine="5700" w:firstLineChars="1900"/>
        <w:rPr>
          <w:rFonts w:hint="eastAsia" w:ascii="仿宋" w:hAnsi="仿宋" w:eastAsia="仿宋" w:cs="仿宋"/>
          <w:b w:val="0"/>
          <w:bCs/>
          <w:color w:val="000000"/>
          <w:sz w:val="30"/>
          <w:szCs w:val="30"/>
          <w:lang w:val="en-US" w:eastAsia="zh-CN"/>
        </w:rPr>
      </w:pPr>
    </w:p>
    <w:p w14:paraId="3F9EE120">
      <w:pPr>
        <w:ind w:firstLine="5700" w:firstLineChars="1900"/>
        <w:rPr>
          <w:rFonts w:hint="eastAsia" w:ascii="仿宋" w:hAnsi="仿宋" w:eastAsia="仿宋" w:cs="仿宋"/>
          <w:b w:val="0"/>
          <w:bCs/>
          <w:color w:val="000000"/>
          <w:sz w:val="30"/>
          <w:szCs w:val="30"/>
          <w:lang w:val="en-US" w:eastAsia="zh-CN"/>
        </w:rPr>
      </w:pPr>
    </w:p>
    <w:p w14:paraId="218B3028">
      <w:pPr>
        <w:ind w:firstLine="5700" w:firstLineChars="1900"/>
        <w:rPr>
          <w:rFonts w:hint="eastAsia" w:ascii="仿宋" w:hAnsi="仿宋" w:eastAsia="仿宋" w:cs="仿宋"/>
          <w:b w:val="0"/>
          <w:bCs/>
          <w:color w:val="000000"/>
          <w:sz w:val="30"/>
          <w:szCs w:val="30"/>
          <w:lang w:val="en-US" w:eastAsia="zh-CN"/>
        </w:rPr>
      </w:pPr>
    </w:p>
    <w:p w14:paraId="66CAA452">
      <w:pPr>
        <w:ind w:firstLine="5700" w:firstLineChars="1900"/>
        <w:rPr>
          <w:rFonts w:hint="eastAsia" w:ascii="仿宋" w:hAnsi="仿宋" w:eastAsia="仿宋" w:cs="仿宋"/>
          <w:b w:val="0"/>
          <w:bCs/>
          <w:color w:val="000000"/>
          <w:sz w:val="30"/>
          <w:szCs w:val="30"/>
          <w:lang w:val="en-US" w:eastAsia="zh-CN"/>
        </w:rPr>
      </w:pPr>
    </w:p>
    <w:p w14:paraId="48308ABA">
      <w:pPr>
        <w:ind w:firstLine="5700" w:firstLineChars="1900"/>
        <w:rPr>
          <w:rFonts w:hint="eastAsia" w:ascii="仿宋" w:hAnsi="仿宋" w:eastAsia="仿宋" w:cs="仿宋"/>
          <w:b w:val="0"/>
          <w:bCs/>
          <w:color w:val="000000"/>
          <w:sz w:val="30"/>
          <w:szCs w:val="30"/>
          <w:lang w:val="en-US" w:eastAsia="zh-CN"/>
        </w:rPr>
      </w:pPr>
    </w:p>
    <w:p w14:paraId="1C05923C">
      <w:pPr>
        <w:ind w:firstLine="5700" w:firstLineChars="1900"/>
        <w:rPr>
          <w:rFonts w:hint="eastAsia" w:ascii="仿宋" w:hAnsi="仿宋" w:eastAsia="仿宋" w:cs="仿宋"/>
          <w:b w:val="0"/>
          <w:bCs/>
          <w:color w:val="000000"/>
          <w:sz w:val="30"/>
          <w:szCs w:val="30"/>
          <w:lang w:val="en-US" w:eastAsia="zh-CN"/>
        </w:rPr>
      </w:pPr>
    </w:p>
    <w:p w14:paraId="4A152197">
      <w:pPr>
        <w:ind w:firstLine="5700" w:firstLineChars="1900"/>
        <w:rPr>
          <w:rFonts w:hint="eastAsia" w:ascii="仿宋" w:hAnsi="仿宋" w:eastAsia="仿宋" w:cs="仿宋"/>
          <w:b w:val="0"/>
          <w:bCs/>
          <w:color w:val="000000"/>
          <w:sz w:val="30"/>
          <w:szCs w:val="30"/>
          <w:lang w:val="en-US" w:eastAsia="zh-CN"/>
        </w:rPr>
      </w:pPr>
    </w:p>
    <w:p w14:paraId="58591B48">
      <w:pPr>
        <w:ind w:firstLine="5700" w:firstLineChars="1900"/>
        <w:rPr>
          <w:rFonts w:hint="eastAsia" w:ascii="仿宋" w:hAnsi="仿宋" w:eastAsia="仿宋" w:cs="仿宋"/>
          <w:b w:val="0"/>
          <w:bCs/>
          <w:color w:val="000000"/>
          <w:sz w:val="30"/>
          <w:szCs w:val="30"/>
          <w:lang w:val="en-US" w:eastAsia="zh-CN"/>
        </w:rPr>
      </w:pPr>
    </w:p>
    <w:p w14:paraId="05FE125B">
      <w:pPr>
        <w:spacing w:line="360" w:lineRule="auto"/>
        <w:jc w:val="left"/>
        <w:rPr>
          <w:rFonts w:hint="eastAsia" w:ascii="宋体" w:hAnsi="宋体" w:cs="宋体"/>
          <w:b/>
          <w:bCs/>
          <w:sz w:val="21"/>
          <w:szCs w:val="21"/>
          <w:lang w:val="en-US" w:eastAsia="zh-CN"/>
        </w:rPr>
      </w:pPr>
      <w:r>
        <w:rPr>
          <w:rFonts w:hint="eastAsia" w:ascii="宋体" w:hAnsi="宋体" w:cs="宋体"/>
          <w:b/>
          <w:bCs/>
          <w:sz w:val="21"/>
          <w:szCs w:val="21"/>
          <w:lang w:val="en-US" w:eastAsia="zh-CN"/>
        </w:rPr>
        <w:t>附件一：</w:t>
      </w:r>
    </w:p>
    <w:tbl>
      <w:tblPr>
        <w:tblStyle w:val="3"/>
        <w:tblW w:w="99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96" w:type="dxa"/>
          <w:bottom w:w="45" w:type="dxa"/>
          <w:right w:w="96" w:type="dxa"/>
        </w:tblCellMar>
      </w:tblPr>
      <w:tblGrid>
        <w:gridCol w:w="582"/>
        <w:gridCol w:w="1104"/>
        <w:gridCol w:w="8250"/>
      </w:tblGrid>
      <w:tr w14:paraId="3F664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tblHeader/>
          <w:jc w:val="center"/>
        </w:trPr>
        <w:tc>
          <w:tcPr>
            <w:tcW w:w="582" w:type="dxa"/>
            <w:tcBorders>
              <w:top w:val="single" w:color="auto" w:sz="4" w:space="0"/>
              <w:left w:val="single" w:color="auto" w:sz="4" w:space="0"/>
              <w:bottom w:val="single" w:color="auto" w:sz="4" w:space="0"/>
              <w:right w:val="single" w:color="auto" w:sz="4" w:space="0"/>
            </w:tcBorders>
            <w:noWrap w:val="0"/>
            <w:vAlign w:val="center"/>
          </w:tcPr>
          <w:p w14:paraId="7DDDD1E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
                <w:color w:val="000000"/>
                <w:sz w:val="20"/>
                <w:szCs w:val="20"/>
                <w:lang w:val="en-US" w:eastAsia="zh-CN"/>
              </w:rPr>
            </w:pPr>
            <w:r>
              <w:rPr>
                <w:rFonts w:hint="eastAsia" w:ascii="宋体" w:hAnsi="宋体" w:cs="宋体"/>
                <w:b/>
                <w:color w:val="000000"/>
                <w:sz w:val="20"/>
                <w:szCs w:val="20"/>
                <w:lang w:val="en-US" w:eastAsia="zh-CN"/>
              </w:rPr>
              <w:t>序号</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5A1AF667">
            <w:pPr>
              <w:keepNext w:val="0"/>
              <w:keepLines w:val="0"/>
              <w:pageBreakBefore w:val="0"/>
              <w:widowControl w:val="0"/>
              <w:kinsoku/>
              <w:wordWrap/>
              <w:overflowPunct/>
              <w:topLinePunct w:val="0"/>
              <w:autoSpaceDE/>
              <w:autoSpaceDN/>
              <w:bidi w:val="0"/>
              <w:adjustRightInd/>
              <w:snapToGrid w:val="0"/>
              <w:spacing w:line="360" w:lineRule="auto"/>
              <w:ind w:leftChars="100" w:firstLine="402" w:firstLineChars="200"/>
              <w:jc w:val="center"/>
              <w:textAlignment w:val="auto"/>
              <w:rPr>
                <w:rFonts w:hint="eastAsia" w:ascii="宋体" w:hAnsi="宋体" w:cs="宋体"/>
                <w:b/>
                <w:color w:val="000000"/>
                <w:sz w:val="20"/>
                <w:szCs w:val="20"/>
                <w:lang w:val="en-US" w:eastAsia="zh-CN"/>
              </w:rPr>
            </w:pPr>
            <w:r>
              <w:rPr>
                <w:rFonts w:hint="eastAsia" w:ascii="宋体" w:hAnsi="宋体" w:cs="宋体"/>
                <w:b/>
                <w:color w:val="000000"/>
                <w:sz w:val="20"/>
                <w:szCs w:val="20"/>
                <w:lang w:val="en-US" w:eastAsia="zh-CN"/>
              </w:rPr>
              <w:t>服务内容</w:t>
            </w:r>
          </w:p>
        </w:tc>
        <w:tc>
          <w:tcPr>
            <w:tcW w:w="8250" w:type="dxa"/>
            <w:tcBorders>
              <w:top w:val="single" w:color="auto" w:sz="4" w:space="0"/>
              <w:left w:val="single" w:color="auto" w:sz="4" w:space="0"/>
              <w:bottom w:val="single" w:color="auto" w:sz="4" w:space="0"/>
              <w:right w:val="single" w:color="auto" w:sz="4" w:space="0"/>
            </w:tcBorders>
            <w:noWrap w:val="0"/>
            <w:vAlign w:val="center"/>
          </w:tcPr>
          <w:p w14:paraId="463BA2B0">
            <w:pPr>
              <w:keepNext w:val="0"/>
              <w:keepLines w:val="0"/>
              <w:pageBreakBefore w:val="0"/>
              <w:widowControl w:val="0"/>
              <w:kinsoku/>
              <w:wordWrap/>
              <w:overflowPunct/>
              <w:topLinePunct w:val="0"/>
              <w:autoSpaceDE/>
              <w:autoSpaceDN/>
              <w:bidi w:val="0"/>
              <w:adjustRightInd/>
              <w:snapToGrid w:val="0"/>
              <w:spacing w:line="360" w:lineRule="auto"/>
              <w:ind w:leftChars="100" w:firstLine="402" w:firstLineChars="200"/>
              <w:jc w:val="center"/>
              <w:textAlignment w:val="auto"/>
              <w:rPr>
                <w:rFonts w:hint="eastAsia" w:ascii="宋体" w:hAnsi="宋体" w:cs="宋体"/>
                <w:b/>
                <w:color w:val="000000"/>
                <w:sz w:val="20"/>
                <w:szCs w:val="20"/>
                <w:lang w:val="en-US" w:eastAsia="zh-CN"/>
              </w:rPr>
            </w:pPr>
            <w:r>
              <w:rPr>
                <w:rFonts w:hint="eastAsia" w:ascii="宋体" w:hAnsi="宋体" w:cs="宋体"/>
                <w:b/>
                <w:color w:val="000000"/>
                <w:sz w:val="20"/>
                <w:szCs w:val="20"/>
                <w:lang w:val="en-US" w:eastAsia="zh-CN"/>
              </w:rPr>
              <w:t>具体内容</w:t>
            </w:r>
          </w:p>
        </w:tc>
      </w:tr>
      <w:tr w14:paraId="4B0A6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582" w:type="dxa"/>
            <w:tcBorders>
              <w:top w:val="single" w:color="auto" w:sz="4" w:space="0"/>
              <w:left w:val="single" w:color="auto" w:sz="4" w:space="0"/>
              <w:bottom w:val="single" w:color="auto" w:sz="4" w:space="0"/>
              <w:right w:val="single" w:color="auto" w:sz="4" w:space="0"/>
            </w:tcBorders>
            <w:noWrap w:val="0"/>
            <w:vAlign w:val="center"/>
          </w:tcPr>
          <w:p w14:paraId="7BB93130">
            <w:pPr>
              <w:keepNext w:val="0"/>
              <w:keepLines w:val="0"/>
              <w:pageBreakBefore w:val="0"/>
              <w:widowControl w:val="0"/>
              <w:kinsoku/>
              <w:wordWrap/>
              <w:overflowPunct/>
              <w:topLinePunct w:val="0"/>
              <w:autoSpaceDE/>
              <w:autoSpaceDN/>
              <w:bidi w:val="0"/>
              <w:adjustRightInd/>
              <w:snapToGrid w:val="0"/>
              <w:spacing w:line="360" w:lineRule="auto"/>
              <w:ind w:leftChars="100" w:firstLine="360" w:firstLineChars="200"/>
              <w:jc w:val="center"/>
              <w:textAlignment w:val="auto"/>
              <w:rPr>
                <w:rFonts w:hint="default" w:ascii="宋体" w:hAnsi="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141FF95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技术支持</w:t>
            </w:r>
          </w:p>
        </w:tc>
        <w:tc>
          <w:tcPr>
            <w:tcW w:w="8250" w:type="dxa"/>
            <w:tcBorders>
              <w:top w:val="single" w:color="auto" w:sz="4" w:space="0"/>
              <w:left w:val="single" w:color="auto" w:sz="4" w:space="0"/>
              <w:bottom w:val="single" w:color="auto" w:sz="4" w:space="0"/>
              <w:right w:val="single" w:color="auto" w:sz="4" w:space="0"/>
            </w:tcBorders>
            <w:noWrap w:val="0"/>
            <w:vAlign w:val="center"/>
          </w:tcPr>
          <w:p w14:paraId="5E665914">
            <w:pPr>
              <w:keepNext w:val="0"/>
              <w:keepLines w:val="0"/>
              <w:pageBreakBefore w:val="0"/>
              <w:widowControl w:val="0"/>
              <w:kinsoku/>
              <w:wordWrap/>
              <w:overflowPunct/>
              <w:topLinePunct w:val="0"/>
              <w:autoSpaceDE/>
              <w:autoSpaceDN/>
              <w:bidi w:val="0"/>
              <w:adjustRightInd/>
              <w:snapToGrid w:val="0"/>
              <w:spacing w:line="360" w:lineRule="auto"/>
              <w:ind w:firstLine="360" w:firstLineChars="200"/>
              <w:jc w:val="left"/>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通过向日葵、VPN 等远程工具进行服务，保证院感办反馈的问题能够及时完成处理。在周末及节假日期间提供专人值班服务，保证周末及节假日为感控科提供各项服务</w:t>
            </w:r>
            <w:r>
              <w:rPr>
                <w:rFonts w:hint="eastAsia" w:ascii="宋体" w:hAnsi="宋体" w:cs="宋体"/>
                <w:color w:val="auto"/>
                <w:sz w:val="18"/>
                <w:szCs w:val="18"/>
                <w:lang w:val="en-US" w:eastAsia="zh-CN"/>
              </w:rPr>
              <w:br w:type="textWrapping"/>
            </w:r>
            <w:r>
              <w:rPr>
                <w:rFonts w:hint="eastAsia" w:ascii="宋体" w:hAnsi="宋体" w:cs="宋体"/>
                <w:color w:val="auto"/>
                <w:sz w:val="18"/>
                <w:szCs w:val="18"/>
                <w:lang w:val="en-US" w:eastAsia="zh-CN"/>
              </w:rPr>
              <w:t>1、通过远程的方式为医院相关使用人员解答系统功能使用方面的问题</w:t>
            </w:r>
            <w:r>
              <w:rPr>
                <w:rFonts w:hint="eastAsia" w:ascii="宋体" w:hAnsi="宋体" w:cs="宋体"/>
                <w:color w:val="auto"/>
                <w:sz w:val="18"/>
                <w:szCs w:val="18"/>
                <w:lang w:val="en-US" w:eastAsia="zh-CN"/>
              </w:rPr>
              <w:br w:type="textWrapping"/>
            </w:r>
            <w:r>
              <w:rPr>
                <w:rFonts w:hint="eastAsia" w:ascii="宋体" w:hAnsi="宋体" w:cs="宋体"/>
                <w:color w:val="auto"/>
                <w:sz w:val="18"/>
                <w:szCs w:val="18"/>
                <w:lang w:val="en-US" w:eastAsia="zh-CN"/>
              </w:rPr>
              <w:t>2、通过远程的方式为院感科解答业务数据方面相关问题，为精准的数据质量提供保障</w:t>
            </w:r>
          </w:p>
          <w:p w14:paraId="6F569A2D">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3.如国家颁布院感防控新政策、新规范及新指南，在原有模块同版本的基础上积极配合使用科室进行功能调整并做好相关内容的培训工作。</w:t>
            </w:r>
          </w:p>
        </w:tc>
      </w:tr>
      <w:tr w14:paraId="532BD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582" w:type="dxa"/>
            <w:tcBorders>
              <w:top w:val="single" w:color="auto" w:sz="4" w:space="0"/>
              <w:left w:val="single" w:color="auto" w:sz="4" w:space="0"/>
              <w:bottom w:val="single" w:color="auto" w:sz="4" w:space="0"/>
              <w:right w:val="single" w:color="auto" w:sz="4" w:space="0"/>
            </w:tcBorders>
            <w:noWrap w:val="0"/>
            <w:vAlign w:val="center"/>
          </w:tcPr>
          <w:p w14:paraId="7B327812">
            <w:pPr>
              <w:keepNext w:val="0"/>
              <w:keepLines w:val="0"/>
              <w:pageBreakBefore w:val="0"/>
              <w:widowControl w:val="0"/>
              <w:kinsoku/>
              <w:wordWrap/>
              <w:overflowPunct/>
              <w:topLinePunct w:val="0"/>
              <w:autoSpaceDE/>
              <w:autoSpaceDN/>
              <w:bidi w:val="0"/>
              <w:adjustRightInd/>
              <w:snapToGrid w:val="0"/>
              <w:spacing w:line="360" w:lineRule="auto"/>
              <w:ind w:leftChars="100" w:firstLine="360" w:firstLineChars="200"/>
              <w:jc w:val="center"/>
              <w:textAlignment w:val="auto"/>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2</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4BCF007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系统使用</w:t>
            </w:r>
          </w:p>
          <w:p w14:paraId="545CE12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咨询</w:t>
            </w:r>
          </w:p>
        </w:tc>
        <w:tc>
          <w:tcPr>
            <w:tcW w:w="8250" w:type="dxa"/>
            <w:tcBorders>
              <w:top w:val="single" w:color="auto" w:sz="4" w:space="0"/>
              <w:left w:val="single" w:color="auto" w:sz="4" w:space="0"/>
              <w:bottom w:val="single" w:color="auto" w:sz="4" w:space="0"/>
              <w:right w:val="single" w:color="auto" w:sz="4" w:space="0"/>
            </w:tcBorders>
            <w:noWrap w:val="0"/>
            <w:vAlign w:val="center"/>
          </w:tcPr>
          <w:p w14:paraId="6F385094">
            <w:pPr>
              <w:keepNext w:val="0"/>
              <w:keepLines w:val="0"/>
              <w:pageBreakBefore w:val="0"/>
              <w:widowControl w:val="0"/>
              <w:kinsoku/>
              <w:wordWrap/>
              <w:overflowPunct/>
              <w:topLinePunct w:val="0"/>
              <w:autoSpaceDE/>
              <w:autoSpaceDN/>
              <w:bidi w:val="0"/>
              <w:adjustRightInd/>
              <w:snapToGrid w:val="0"/>
              <w:spacing w:line="360" w:lineRule="auto"/>
              <w:ind w:firstLine="360" w:firstLineChars="200"/>
              <w:jc w:val="left"/>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为使用科室提供咨询解答服务，保障院内日常监测工作的开展</w:t>
            </w:r>
            <w:r>
              <w:rPr>
                <w:rFonts w:hint="eastAsia" w:ascii="宋体" w:hAnsi="宋体" w:cs="宋体"/>
                <w:color w:val="auto"/>
                <w:sz w:val="18"/>
                <w:szCs w:val="18"/>
                <w:lang w:val="en-US" w:eastAsia="zh-CN"/>
              </w:rPr>
              <w:br w:type="textWrapping"/>
            </w:r>
            <w:r>
              <w:rPr>
                <w:rFonts w:hint="eastAsia" w:ascii="宋体" w:hAnsi="宋体" w:cs="宋体"/>
                <w:color w:val="auto"/>
                <w:sz w:val="18"/>
                <w:szCs w:val="18"/>
                <w:lang w:val="en-US" w:eastAsia="zh-CN"/>
              </w:rPr>
              <w:t>1、通过远程的方式为院感办提供解读预警诊断策略服务</w:t>
            </w:r>
            <w:r>
              <w:rPr>
                <w:rFonts w:hint="eastAsia" w:ascii="宋体" w:hAnsi="宋体" w:cs="宋体"/>
                <w:color w:val="auto"/>
                <w:sz w:val="18"/>
                <w:szCs w:val="18"/>
                <w:lang w:val="en-US" w:eastAsia="zh-CN"/>
              </w:rPr>
              <w:br w:type="textWrapping"/>
            </w:r>
            <w:r>
              <w:rPr>
                <w:rFonts w:hint="eastAsia" w:ascii="宋体" w:hAnsi="宋体" w:cs="宋体"/>
                <w:color w:val="auto"/>
                <w:sz w:val="18"/>
                <w:szCs w:val="18"/>
                <w:lang w:val="en-US" w:eastAsia="zh-CN"/>
              </w:rPr>
              <w:t>2、通过远程的方式为院感办提供解读系统各统计界面报表统计逻辑服务</w:t>
            </w:r>
            <w:r>
              <w:rPr>
                <w:rFonts w:hint="eastAsia" w:ascii="宋体" w:hAnsi="宋体" w:cs="宋体"/>
                <w:color w:val="auto"/>
                <w:sz w:val="18"/>
                <w:szCs w:val="18"/>
                <w:lang w:val="en-US" w:eastAsia="zh-CN"/>
              </w:rPr>
              <w:br w:type="textWrapping"/>
            </w:r>
            <w:r>
              <w:rPr>
                <w:rFonts w:hint="eastAsia" w:ascii="宋体" w:hAnsi="宋体" w:cs="宋体"/>
                <w:color w:val="auto"/>
                <w:sz w:val="18"/>
                <w:szCs w:val="18"/>
                <w:lang w:val="en-US" w:eastAsia="zh-CN"/>
              </w:rPr>
              <w:t>3、通过远程的方式为医院相关使用人员提供系统各功能模块的功能讲解服务，保障使用人员对于系统功能的正常使用</w:t>
            </w:r>
            <w:r>
              <w:rPr>
                <w:rFonts w:hint="eastAsia" w:ascii="宋体" w:hAnsi="宋体" w:cs="宋体"/>
                <w:color w:val="auto"/>
                <w:sz w:val="18"/>
                <w:szCs w:val="18"/>
                <w:lang w:val="en-US" w:eastAsia="zh-CN"/>
              </w:rPr>
              <w:br w:type="textWrapping"/>
            </w:r>
            <w:r>
              <w:rPr>
                <w:rFonts w:hint="eastAsia" w:ascii="宋体" w:hAnsi="宋体" w:cs="宋体"/>
                <w:color w:val="auto"/>
                <w:sz w:val="18"/>
                <w:szCs w:val="18"/>
                <w:lang w:val="en-US" w:eastAsia="zh-CN"/>
              </w:rPr>
              <w:t>4、为院感办讲解各项院感监测业务，涵盖业务背景、监测难点、常见问题；基于各项业务的监测难点和常见问题，结合区域内监测方向和要求，提供专业化建议及分享本区域相关监测改进方法。</w:t>
            </w:r>
          </w:p>
        </w:tc>
      </w:tr>
      <w:tr w14:paraId="0B5AA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582" w:type="dxa"/>
            <w:tcBorders>
              <w:top w:val="single" w:color="auto" w:sz="4" w:space="0"/>
              <w:left w:val="single" w:color="auto" w:sz="4" w:space="0"/>
              <w:bottom w:val="single" w:color="auto" w:sz="4" w:space="0"/>
              <w:right w:val="single" w:color="auto" w:sz="4" w:space="0"/>
            </w:tcBorders>
            <w:noWrap w:val="0"/>
            <w:vAlign w:val="center"/>
          </w:tcPr>
          <w:p w14:paraId="190B57FF">
            <w:pPr>
              <w:keepNext w:val="0"/>
              <w:keepLines w:val="0"/>
              <w:pageBreakBefore w:val="0"/>
              <w:widowControl w:val="0"/>
              <w:kinsoku/>
              <w:wordWrap/>
              <w:overflowPunct/>
              <w:topLinePunct w:val="0"/>
              <w:autoSpaceDE/>
              <w:autoSpaceDN/>
              <w:bidi w:val="0"/>
              <w:adjustRightInd/>
              <w:snapToGrid w:val="0"/>
              <w:spacing w:line="360" w:lineRule="auto"/>
              <w:ind w:leftChars="100" w:firstLine="360" w:firstLineChars="200"/>
              <w:jc w:val="center"/>
              <w:textAlignment w:val="auto"/>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3</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6397133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信息科人员培训</w:t>
            </w:r>
          </w:p>
        </w:tc>
        <w:tc>
          <w:tcPr>
            <w:tcW w:w="8250" w:type="dxa"/>
            <w:tcBorders>
              <w:top w:val="single" w:color="auto" w:sz="4" w:space="0"/>
              <w:left w:val="single" w:color="auto" w:sz="4" w:space="0"/>
              <w:bottom w:val="single" w:color="auto" w:sz="4" w:space="0"/>
              <w:right w:val="single" w:color="auto" w:sz="4" w:space="0"/>
            </w:tcBorders>
            <w:noWrap w:val="0"/>
            <w:vAlign w:val="center"/>
          </w:tcPr>
          <w:p w14:paraId="0DCA6A67">
            <w:pPr>
              <w:keepNext w:val="0"/>
              <w:keepLines w:val="0"/>
              <w:pageBreakBefore w:val="0"/>
              <w:widowControl w:val="0"/>
              <w:kinsoku/>
              <w:wordWrap/>
              <w:overflowPunct/>
              <w:topLinePunct w:val="0"/>
              <w:autoSpaceDE/>
              <w:autoSpaceDN/>
              <w:bidi w:val="0"/>
              <w:adjustRightInd/>
              <w:snapToGrid w:val="0"/>
              <w:spacing w:line="360" w:lineRule="auto"/>
              <w:ind w:firstLine="180" w:firstLineChars="100"/>
              <w:jc w:val="left"/>
              <w:textAlignment w:val="auto"/>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对信息科的院感实时监测系统维护人员进行培训，保证能够进行日常的运行维护、系统重启、新建用户等操作</w:t>
            </w:r>
          </w:p>
        </w:tc>
      </w:tr>
      <w:tr w14:paraId="054FF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582" w:type="dxa"/>
            <w:tcBorders>
              <w:top w:val="single" w:color="auto" w:sz="4" w:space="0"/>
              <w:left w:val="single" w:color="auto" w:sz="4" w:space="0"/>
              <w:bottom w:val="single" w:color="auto" w:sz="4" w:space="0"/>
              <w:right w:val="single" w:color="auto" w:sz="4" w:space="0"/>
            </w:tcBorders>
            <w:noWrap w:val="0"/>
            <w:vAlign w:val="center"/>
          </w:tcPr>
          <w:p w14:paraId="6BDF2AD4">
            <w:pPr>
              <w:keepNext w:val="0"/>
              <w:keepLines w:val="0"/>
              <w:pageBreakBefore w:val="0"/>
              <w:widowControl w:val="0"/>
              <w:kinsoku/>
              <w:wordWrap/>
              <w:overflowPunct/>
              <w:topLinePunct w:val="0"/>
              <w:autoSpaceDE/>
              <w:autoSpaceDN/>
              <w:bidi w:val="0"/>
              <w:adjustRightInd/>
              <w:snapToGrid w:val="0"/>
              <w:spacing w:line="360" w:lineRule="auto"/>
              <w:ind w:leftChars="100" w:firstLine="360" w:firstLineChars="200"/>
              <w:jc w:val="center"/>
              <w:textAlignment w:val="auto"/>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4</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2D2794F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数据备份运行情况检查</w:t>
            </w:r>
          </w:p>
        </w:tc>
        <w:tc>
          <w:tcPr>
            <w:tcW w:w="8250" w:type="dxa"/>
            <w:tcBorders>
              <w:top w:val="single" w:color="auto" w:sz="4" w:space="0"/>
              <w:left w:val="single" w:color="auto" w:sz="4" w:space="0"/>
              <w:bottom w:val="single" w:color="auto" w:sz="4" w:space="0"/>
              <w:right w:val="single" w:color="auto" w:sz="4" w:space="0"/>
            </w:tcBorders>
            <w:noWrap w:val="0"/>
            <w:vAlign w:val="center"/>
          </w:tcPr>
          <w:p w14:paraId="3B357377">
            <w:pPr>
              <w:keepNext w:val="0"/>
              <w:keepLines w:val="0"/>
              <w:pageBreakBefore w:val="0"/>
              <w:widowControl w:val="0"/>
              <w:kinsoku/>
              <w:wordWrap/>
              <w:overflowPunct/>
              <w:topLinePunct w:val="0"/>
              <w:autoSpaceDE/>
              <w:autoSpaceDN/>
              <w:bidi w:val="0"/>
              <w:adjustRightInd/>
              <w:snapToGrid w:val="0"/>
              <w:spacing w:line="360" w:lineRule="auto"/>
              <w:ind w:firstLine="180" w:firstLineChars="100"/>
              <w:jc w:val="left"/>
              <w:textAlignment w:val="auto"/>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定期巡查服务器系统备份机制，并出具专业化的数据备份巡检报告。</w:t>
            </w:r>
          </w:p>
        </w:tc>
      </w:tr>
      <w:tr w14:paraId="44B91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582" w:type="dxa"/>
            <w:tcBorders>
              <w:top w:val="single" w:color="auto" w:sz="4" w:space="0"/>
              <w:left w:val="single" w:color="auto" w:sz="4" w:space="0"/>
              <w:bottom w:val="single" w:color="auto" w:sz="4" w:space="0"/>
              <w:right w:val="single" w:color="auto" w:sz="4" w:space="0"/>
            </w:tcBorders>
            <w:noWrap w:val="0"/>
            <w:vAlign w:val="center"/>
          </w:tcPr>
          <w:p w14:paraId="24DD1763">
            <w:pPr>
              <w:keepNext w:val="0"/>
              <w:keepLines w:val="0"/>
              <w:pageBreakBefore w:val="0"/>
              <w:widowControl w:val="0"/>
              <w:kinsoku/>
              <w:wordWrap/>
              <w:overflowPunct/>
              <w:topLinePunct w:val="0"/>
              <w:autoSpaceDE/>
              <w:autoSpaceDN/>
              <w:bidi w:val="0"/>
              <w:adjustRightInd/>
              <w:snapToGrid w:val="0"/>
              <w:spacing w:line="360" w:lineRule="auto"/>
              <w:ind w:leftChars="100" w:firstLine="360" w:firstLineChars="200"/>
              <w:jc w:val="center"/>
              <w:textAlignment w:val="auto"/>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5</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618179B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数据恢复及系统迁移</w:t>
            </w:r>
          </w:p>
        </w:tc>
        <w:tc>
          <w:tcPr>
            <w:tcW w:w="8250" w:type="dxa"/>
            <w:tcBorders>
              <w:top w:val="single" w:color="auto" w:sz="4" w:space="0"/>
              <w:left w:val="single" w:color="auto" w:sz="4" w:space="0"/>
              <w:bottom w:val="single" w:color="auto" w:sz="4" w:space="0"/>
              <w:right w:val="single" w:color="auto" w:sz="4" w:space="0"/>
            </w:tcBorders>
            <w:noWrap w:val="0"/>
            <w:vAlign w:val="center"/>
          </w:tcPr>
          <w:p w14:paraId="5796614F">
            <w:pPr>
              <w:keepNext w:val="0"/>
              <w:keepLines w:val="0"/>
              <w:pageBreakBefore w:val="0"/>
              <w:widowControl w:val="0"/>
              <w:kinsoku/>
              <w:wordWrap/>
              <w:overflowPunct/>
              <w:topLinePunct w:val="0"/>
              <w:autoSpaceDE/>
              <w:autoSpaceDN/>
              <w:bidi w:val="0"/>
              <w:adjustRightInd/>
              <w:snapToGrid w:val="0"/>
              <w:spacing w:line="360" w:lineRule="auto"/>
              <w:ind w:firstLine="180" w:firstLineChars="100"/>
              <w:jc w:val="left"/>
              <w:textAlignment w:val="auto"/>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提供系统数据恢复及系统迁移服务</w:t>
            </w:r>
            <w:r>
              <w:rPr>
                <w:rFonts w:hint="eastAsia" w:ascii="宋体" w:hAnsi="宋体" w:cs="宋体"/>
                <w:color w:val="000000"/>
                <w:sz w:val="18"/>
                <w:szCs w:val="18"/>
                <w:lang w:val="en-US" w:eastAsia="zh-CN"/>
              </w:rPr>
              <w:br w:type="textWrapping"/>
            </w:r>
            <w:r>
              <w:rPr>
                <w:rFonts w:hint="eastAsia" w:ascii="宋体" w:hAnsi="宋体" w:cs="宋体"/>
                <w:color w:val="000000"/>
                <w:sz w:val="18"/>
                <w:szCs w:val="18"/>
                <w:lang w:val="en-US" w:eastAsia="zh-CN"/>
              </w:rPr>
              <w:t>1、根据医院目前实际拥有的备份文件内容，在医院存在需求的情况下，对数据内容还原恢复至特定时间点，有效保证数据的完整性；</w:t>
            </w:r>
            <w:r>
              <w:rPr>
                <w:rFonts w:hint="eastAsia" w:ascii="宋体" w:hAnsi="宋体" w:cs="宋体"/>
                <w:color w:val="000000"/>
                <w:sz w:val="18"/>
                <w:szCs w:val="18"/>
                <w:lang w:val="en-US" w:eastAsia="zh-CN"/>
              </w:rPr>
              <w:br w:type="textWrapping"/>
            </w:r>
            <w:r>
              <w:rPr>
                <w:rFonts w:hint="eastAsia" w:ascii="宋体" w:hAnsi="宋体" w:cs="宋体"/>
                <w:color w:val="000000"/>
                <w:sz w:val="18"/>
                <w:szCs w:val="18"/>
                <w:lang w:val="en-US" w:eastAsia="zh-CN"/>
              </w:rPr>
              <w:t>2、根据医院的需求，对业务系统进行迁移部署，并完成系统调试工作，确保使用正常</w:t>
            </w:r>
          </w:p>
        </w:tc>
      </w:tr>
      <w:tr w14:paraId="15C9E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582" w:type="dxa"/>
            <w:tcBorders>
              <w:top w:val="single" w:color="auto" w:sz="4" w:space="0"/>
              <w:left w:val="single" w:color="auto" w:sz="4" w:space="0"/>
              <w:bottom w:val="single" w:color="auto" w:sz="4" w:space="0"/>
              <w:right w:val="single" w:color="auto" w:sz="4" w:space="0"/>
            </w:tcBorders>
            <w:noWrap w:val="0"/>
            <w:vAlign w:val="center"/>
          </w:tcPr>
          <w:p w14:paraId="7C113621">
            <w:pPr>
              <w:keepNext w:val="0"/>
              <w:keepLines w:val="0"/>
              <w:pageBreakBefore w:val="0"/>
              <w:widowControl w:val="0"/>
              <w:kinsoku/>
              <w:wordWrap/>
              <w:overflowPunct/>
              <w:topLinePunct w:val="0"/>
              <w:autoSpaceDE/>
              <w:autoSpaceDN/>
              <w:bidi w:val="0"/>
              <w:adjustRightInd/>
              <w:snapToGrid w:val="0"/>
              <w:spacing w:line="360" w:lineRule="auto"/>
              <w:ind w:leftChars="100" w:firstLine="360" w:firstLineChars="200"/>
              <w:jc w:val="center"/>
              <w:textAlignment w:val="auto"/>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6</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7E6D6CB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NIS 服务器宕机修复</w:t>
            </w:r>
          </w:p>
        </w:tc>
        <w:tc>
          <w:tcPr>
            <w:tcW w:w="8250" w:type="dxa"/>
            <w:tcBorders>
              <w:top w:val="single" w:color="auto" w:sz="4" w:space="0"/>
              <w:left w:val="single" w:color="auto" w:sz="4" w:space="0"/>
              <w:bottom w:val="single" w:color="auto" w:sz="4" w:space="0"/>
              <w:right w:val="single" w:color="auto" w:sz="4" w:space="0"/>
            </w:tcBorders>
            <w:noWrap w:val="0"/>
            <w:vAlign w:val="center"/>
          </w:tcPr>
          <w:p w14:paraId="7BC30517">
            <w:pPr>
              <w:keepNext w:val="0"/>
              <w:keepLines w:val="0"/>
              <w:pageBreakBefore w:val="0"/>
              <w:widowControl w:val="0"/>
              <w:kinsoku/>
              <w:wordWrap/>
              <w:overflowPunct/>
              <w:topLinePunct w:val="0"/>
              <w:autoSpaceDE/>
              <w:autoSpaceDN/>
              <w:bidi w:val="0"/>
              <w:adjustRightInd/>
              <w:snapToGrid w:val="0"/>
              <w:spacing w:line="360" w:lineRule="auto"/>
              <w:ind w:firstLine="360" w:firstLineChars="200"/>
              <w:jc w:val="left"/>
              <w:textAlignment w:val="auto"/>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当医院院感服务器出现宕机情况时，协助信息工作人员对院感服务器进行修复并完成数据恢复及更新，确保系统使用正常</w:t>
            </w:r>
          </w:p>
        </w:tc>
      </w:tr>
      <w:tr w14:paraId="38F17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582" w:type="dxa"/>
            <w:tcBorders>
              <w:top w:val="single" w:color="auto" w:sz="4" w:space="0"/>
              <w:left w:val="single" w:color="auto" w:sz="4" w:space="0"/>
              <w:bottom w:val="single" w:color="auto" w:sz="4" w:space="0"/>
              <w:right w:val="single" w:color="auto" w:sz="4" w:space="0"/>
            </w:tcBorders>
            <w:noWrap w:val="0"/>
            <w:vAlign w:val="center"/>
          </w:tcPr>
          <w:p w14:paraId="4520DA65">
            <w:pPr>
              <w:keepNext w:val="0"/>
              <w:keepLines w:val="0"/>
              <w:pageBreakBefore w:val="0"/>
              <w:widowControl w:val="0"/>
              <w:kinsoku/>
              <w:wordWrap/>
              <w:overflowPunct/>
              <w:topLinePunct w:val="0"/>
              <w:autoSpaceDE/>
              <w:autoSpaceDN/>
              <w:bidi w:val="0"/>
              <w:adjustRightInd/>
              <w:snapToGrid w:val="0"/>
              <w:spacing w:line="360" w:lineRule="auto"/>
              <w:ind w:leftChars="100" w:firstLine="360" w:firstLineChars="200"/>
              <w:jc w:val="center"/>
              <w:textAlignment w:val="auto"/>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7</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5731CCF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服务器远程巡检</w:t>
            </w:r>
          </w:p>
        </w:tc>
        <w:tc>
          <w:tcPr>
            <w:tcW w:w="8250" w:type="dxa"/>
            <w:tcBorders>
              <w:top w:val="single" w:color="auto" w:sz="4" w:space="0"/>
              <w:left w:val="single" w:color="auto" w:sz="4" w:space="0"/>
              <w:bottom w:val="single" w:color="auto" w:sz="4" w:space="0"/>
              <w:right w:val="single" w:color="auto" w:sz="4" w:space="0"/>
            </w:tcBorders>
            <w:noWrap w:val="0"/>
            <w:vAlign w:val="center"/>
          </w:tcPr>
          <w:p w14:paraId="2CFD5377">
            <w:pPr>
              <w:keepNext w:val="0"/>
              <w:keepLines w:val="0"/>
              <w:pageBreakBefore w:val="0"/>
              <w:widowControl w:val="0"/>
              <w:kinsoku/>
              <w:wordWrap/>
              <w:overflowPunct/>
              <w:topLinePunct w:val="0"/>
              <w:autoSpaceDE/>
              <w:autoSpaceDN/>
              <w:bidi w:val="0"/>
              <w:adjustRightInd/>
              <w:snapToGrid w:val="0"/>
              <w:spacing w:line="360" w:lineRule="auto"/>
              <w:ind w:firstLine="360" w:firstLineChars="200"/>
              <w:jc w:val="left"/>
              <w:textAlignment w:val="auto"/>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定期对服务器运行环境进行巡检，巡检内容包括：服务器内存情况评估、硬盘情况评估、系统运行稳定性评估等，有效避免并解决：</w:t>
            </w:r>
            <w:r>
              <w:rPr>
                <w:rFonts w:hint="eastAsia" w:ascii="宋体" w:hAnsi="宋体" w:cs="宋体"/>
                <w:color w:val="000000"/>
                <w:sz w:val="18"/>
                <w:szCs w:val="18"/>
                <w:lang w:val="en-US" w:eastAsia="zh-CN"/>
              </w:rPr>
              <w:br w:type="textWrapping"/>
            </w:r>
            <w:r>
              <w:rPr>
                <w:rFonts w:hint="eastAsia" w:ascii="宋体" w:hAnsi="宋体" w:cs="宋体"/>
                <w:color w:val="000000"/>
                <w:sz w:val="18"/>
                <w:szCs w:val="18"/>
                <w:lang w:val="en-US" w:eastAsia="zh-CN"/>
              </w:rPr>
              <w:t>1、服务器磁盘空间不足问题</w:t>
            </w:r>
            <w:r>
              <w:rPr>
                <w:rFonts w:hint="eastAsia" w:ascii="宋体" w:hAnsi="宋体" w:cs="宋体"/>
                <w:color w:val="000000"/>
                <w:sz w:val="18"/>
                <w:szCs w:val="18"/>
                <w:lang w:val="en-US" w:eastAsia="zh-CN"/>
              </w:rPr>
              <w:br w:type="textWrapping"/>
            </w:r>
            <w:r>
              <w:rPr>
                <w:rFonts w:hint="eastAsia" w:ascii="宋体" w:hAnsi="宋体" w:cs="宋体"/>
                <w:color w:val="000000"/>
                <w:sz w:val="18"/>
                <w:szCs w:val="18"/>
                <w:lang w:val="en-US" w:eastAsia="zh-CN"/>
              </w:rPr>
              <w:t>2、服务器系统运行卡顿问题</w:t>
            </w:r>
            <w:r>
              <w:rPr>
                <w:rFonts w:hint="eastAsia" w:ascii="宋体" w:hAnsi="宋体" w:cs="宋体"/>
                <w:color w:val="000000"/>
                <w:sz w:val="18"/>
                <w:szCs w:val="18"/>
                <w:lang w:val="en-US" w:eastAsia="zh-CN"/>
              </w:rPr>
              <w:br w:type="textWrapping"/>
            </w:r>
            <w:r>
              <w:rPr>
                <w:rFonts w:hint="eastAsia" w:ascii="宋体" w:hAnsi="宋体" w:cs="宋体"/>
                <w:color w:val="000000"/>
                <w:sz w:val="18"/>
                <w:szCs w:val="18"/>
                <w:lang w:val="en-US" w:eastAsia="zh-CN"/>
              </w:rPr>
              <w:t>3、服务器安全方面防护问题</w:t>
            </w:r>
          </w:p>
        </w:tc>
      </w:tr>
      <w:tr w14:paraId="4DB5E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582" w:type="dxa"/>
            <w:tcBorders>
              <w:top w:val="single" w:color="auto" w:sz="4" w:space="0"/>
              <w:left w:val="single" w:color="auto" w:sz="4" w:space="0"/>
              <w:bottom w:val="single" w:color="auto" w:sz="4" w:space="0"/>
              <w:right w:val="single" w:color="auto" w:sz="4" w:space="0"/>
            </w:tcBorders>
            <w:noWrap w:val="0"/>
            <w:vAlign w:val="center"/>
          </w:tcPr>
          <w:p w14:paraId="2342DB86">
            <w:pPr>
              <w:keepNext w:val="0"/>
              <w:keepLines w:val="0"/>
              <w:pageBreakBefore w:val="0"/>
              <w:widowControl w:val="0"/>
              <w:kinsoku/>
              <w:wordWrap/>
              <w:overflowPunct/>
              <w:topLinePunct w:val="0"/>
              <w:autoSpaceDE/>
              <w:autoSpaceDN/>
              <w:bidi w:val="0"/>
              <w:adjustRightInd/>
              <w:snapToGrid w:val="0"/>
              <w:spacing w:line="360" w:lineRule="auto"/>
              <w:ind w:leftChars="100" w:firstLine="360" w:firstLineChars="200"/>
              <w:jc w:val="center"/>
              <w:textAlignment w:val="auto"/>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8</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2048C51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数据上报</w:t>
            </w:r>
          </w:p>
        </w:tc>
        <w:tc>
          <w:tcPr>
            <w:tcW w:w="8250" w:type="dxa"/>
            <w:tcBorders>
              <w:top w:val="single" w:color="auto" w:sz="4" w:space="0"/>
              <w:left w:val="single" w:color="auto" w:sz="4" w:space="0"/>
              <w:bottom w:val="single" w:color="auto" w:sz="4" w:space="0"/>
              <w:right w:val="single" w:color="auto" w:sz="4" w:space="0"/>
            </w:tcBorders>
            <w:noWrap w:val="0"/>
            <w:vAlign w:val="center"/>
          </w:tcPr>
          <w:p w14:paraId="78A8BCD3">
            <w:pPr>
              <w:keepNext w:val="0"/>
              <w:keepLines w:val="0"/>
              <w:pageBreakBefore w:val="0"/>
              <w:widowControl w:val="0"/>
              <w:kinsoku/>
              <w:wordWrap/>
              <w:overflowPunct/>
              <w:topLinePunct w:val="0"/>
              <w:autoSpaceDE/>
              <w:autoSpaceDN/>
              <w:bidi w:val="0"/>
              <w:adjustRightInd/>
              <w:snapToGrid w:val="0"/>
              <w:spacing w:line="360" w:lineRule="auto"/>
              <w:ind w:firstLine="360" w:firstLineChars="200"/>
              <w:jc w:val="left"/>
              <w:textAlignment w:val="auto"/>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根据区域数据上报要求，提供数据上报服务</w:t>
            </w:r>
            <w:r>
              <w:rPr>
                <w:rFonts w:hint="eastAsia" w:ascii="宋体" w:hAnsi="宋体" w:cs="宋体"/>
                <w:color w:val="000000"/>
                <w:sz w:val="18"/>
                <w:szCs w:val="18"/>
                <w:lang w:val="en-US" w:eastAsia="zh-CN"/>
              </w:rPr>
              <w:br w:type="textWrapping"/>
            </w:r>
            <w:r>
              <w:rPr>
                <w:rFonts w:hint="eastAsia" w:ascii="宋体" w:hAnsi="宋体" w:cs="宋体"/>
                <w:color w:val="000000"/>
                <w:sz w:val="18"/>
                <w:szCs w:val="18"/>
                <w:lang w:val="en-US" w:eastAsia="zh-CN"/>
              </w:rPr>
              <w:t>1、协助医院完成NICC/NIRC数据上报；</w:t>
            </w:r>
            <w:r>
              <w:rPr>
                <w:rFonts w:hint="eastAsia" w:ascii="宋体" w:hAnsi="宋体" w:cs="宋体"/>
                <w:color w:val="000000"/>
                <w:sz w:val="18"/>
                <w:szCs w:val="18"/>
                <w:lang w:val="en-US" w:eastAsia="zh-CN"/>
              </w:rPr>
              <w:br w:type="textWrapping"/>
            </w:r>
            <w:r>
              <w:rPr>
                <w:rFonts w:hint="eastAsia" w:ascii="宋体" w:hAnsi="宋体" w:cs="宋体"/>
                <w:color w:val="000000"/>
                <w:sz w:val="18"/>
                <w:szCs w:val="18"/>
                <w:lang w:val="en-US" w:eastAsia="zh-CN"/>
              </w:rPr>
              <w:t>2、协助医院完成抗菌药物治疗前病原学送检专项整改、哨点医院数据上报；</w:t>
            </w:r>
          </w:p>
          <w:p w14:paraId="6DFB608F">
            <w:pPr>
              <w:keepNext w:val="0"/>
              <w:keepLines w:val="0"/>
              <w:pageBreakBefore w:val="0"/>
              <w:widowControl w:val="0"/>
              <w:kinsoku/>
              <w:wordWrap/>
              <w:overflowPunct/>
              <w:topLinePunct w:val="0"/>
              <w:autoSpaceDE/>
              <w:autoSpaceDN/>
              <w:bidi w:val="0"/>
              <w:adjustRightInd/>
              <w:snapToGrid w:val="0"/>
              <w:spacing w:line="360" w:lineRule="auto"/>
              <w:ind w:firstLine="180" w:firstLineChars="100"/>
              <w:jc w:val="left"/>
              <w:textAlignment w:val="auto"/>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3、完善感术行动相关监测数据统计分析便于上报</w:t>
            </w:r>
          </w:p>
        </w:tc>
      </w:tr>
    </w:tbl>
    <w:p w14:paraId="1C871D77">
      <w:pPr>
        <w:rPr>
          <w:rFonts w:hint="eastAsia" w:ascii="仿宋" w:hAnsi="仿宋" w:eastAsia="仿宋" w:cs="仿宋"/>
          <w:b w:val="0"/>
          <w:bCs/>
          <w:color w:val="000000"/>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51CF72"/>
    <w:multiLevelType w:val="singleLevel"/>
    <w:tmpl w:val="1F51CF7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mOTkyZmZmMDY4ZTI3MjRmNDE5MmNjZGU4NTAyZjMifQ=="/>
  </w:docVars>
  <w:rsids>
    <w:rsidRoot w:val="2D146CFC"/>
    <w:rsid w:val="03830783"/>
    <w:rsid w:val="047C07F8"/>
    <w:rsid w:val="04E86B91"/>
    <w:rsid w:val="093F4B09"/>
    <w:rsid w:val="0A441458"/>
    <w:rsid w:val="0AB575CA"/>
    <w:rsid w:val="0C600542"/>
    <w:rsid w:val="0D015E0F"/>
    <w:rsid w:val="11F30996"/>
    <w:rsid w:val="12C476C5"/>
    <w:rsid w:val="13367CD5"/>
    <w:rsid w:val="1981365B"/>
    <w:rsid w:val="19BD5C87"/>
    <w:rsid w:val="1A433DA7"/>
    <w:rsid w:val="1B10120B"/>
    <w:rsid w:val="1CB02C77"/>
    <w:rsid w:val="1D5C6353"/>
    <w:rsid w:val="27BE5BE4"/>
    <w:rsid w:val="27FF41B3"/>
    <w:rsid w:val="284C609B"/>
    <w:rsid w:val="293507CD"/>
    <w:rsid w:val="2A600775"/>
    <w:rsid w:val="2A742C66"/>
    <w:rsid w:val="2D146CFC"/>
    <w:rsid w:val="3CF70695"/>
    <w:rsid w:val="3DA8198E"/>
    <w:rsid w:val="413D7FC0"/>
    <w:rsid w:val="43254EF9"/>
    <w:rsid w:val="44155F70"/>
    <w:rsid w:val="45C673D4"/>
    <w:rsid w:val="50353117"/>
    <w:rsid w:val="527D3C36"/>
    <w:rsid w:val="535053C5"/>
    <w:rsid w:val="53662D5B"/>
    <w:rsid w:val="54083681"/>
    <w:rsid w:val="54267EA3"/>
    <w:rsid w:val="5499337A"/>
    <w:rsid w:val="55354DCF"/>
    <w:rsid w:val="55B3013F"/>
    <w:rsid w:val="5A597344"/>
    <w:rsid w:val="5CE47C08"/>
    <w:rsid w:val="5D6A46BB"/>
    <w:rsid w:val="65254D0B"/>
    <w:rsid w:val="686B5B36"/>
    <w:rsid w:val="688D1899"/>
    <w:rsid w:val="6AE91319"/>
    <w:rsid w:val="6FD26831"/>
    <w:rsid w:val="6FF62C2D"/>
    <w:rsid w:val="73897EB6"/>
    <w:rsid w:val="75D9768B"/>
    <w:rsid w:val="77FA12E7"/>
    <w:rsid w:val="7DB96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qFormat/>
    <w:uiPriority w:val="0"/>
    <w:rPr>
      <w:color w:val="800080"/>
      <w:u w:val="none"/>
    </w:rPr>
  </w:style>
  <w:style w:type="character" w:styleId="6">
    <w:name w:val="Hyperlink"/>
    <w:basedOn w:val="4"/>
    <w:qFormat/>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1702</Words>
  <Characters>1741</Characters>
  <Lines>0</Lines>
  <Paragraphs>0</Paragraphs>
  <TotalTime>1</TotalTime>
  <ScaleCrop>false</ScaleCrop>
  <LinksUpToDate>false</LinksUpToDate>
  <CharactersWithSpaces>1755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2020-07-21T09:13:00Z</dcterms:created>
  <dc:creator>Dua</dc:creator>
  <cp:lastModifiedBy>陈</cp:lastModifiedBy>
  <cp:lastPrinted>2024-08-21T07:06:00Z</cp:lastPrinted>
  <dcterms:modified xsi:type="dcterms:W3CDTF">2025-11-10T03:44:41Z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11799F96B914483082B5A60410BF79BC_13</vt:lpwstr>
  </property>
  <property fmtid="{D5CDD505-2E9C-101B-9397-08002B2CF9AE}" pid="4" name="KSOTemplateDocerSaveRecord">
    <vt:lpwstr>eyJoZGlkIjoiZDAwMDRlM2JmZTFmYTVkOTE4ZDZlMmVhMzMyODM4ZjkiLCJ1c2VySWQiOiIzNDkwNTY1NjIifQ==</vt:lpwstr>
  </property>
</Properties>
</file>